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B5B7" w14:textId="77777777" w:rsidR="00BD4302" w:rsidRDefault="00000000" w:rsidP="004547D2">
      <w:pPr>
        <w:spacing w:after="40"/>
        <w:jc w:val="center"/>
      </w:pPr>
      <w:r>
        <w:rPr>
          <w:b/>
          <w:sz w:val="28"/>
        </w:rPr>
        <w:t>Curriculum Vitae</w:t>
      </w:r>
    </w:p>
    <w:p w14:paraId="7D1B23CA" w14:textId="77777777" w:rsidR="00BD4302" w:rsidRDefault="00000000" w:rsidP="004547D2">
      <w:pPr>
        <w:jc w:val="center"/>
      </w:pPr>
      <w:r>
        <w:rPr>
          <w:i/>
        </w:rPr>
        <w:t>Last updated: April 2026</w:t>
      </w:r>
    </w:p>
    <w:p w14:paraId="1538F565" w14:textId="77777777" w:rsidR="00BD4302" w:rsidRDefault="00000000" w:rsidP="004547D2">
      <w:pPr>
        <w:spacing w:after="160"/>
        <w:jc w:val="center"/>
        <w:rPr>
          <w:b/>
          <w:sz w:val="28"/>
        </w:rPr>
      </w:pPr>
      <w:r>
        <w:rPr>
          <w:b/>
          <w:sz w:val="28"/>
        </w:rPr>
        <w:t>Dr. Fotis Delis</w:t>
      </w:r>
    </w:p>
    <w:p w14:paraId="1361539F" w14:textId="77777777" w:rsidR="004547D2" w:rsidRDefault="004547D2" w:rsidP="004547D2">
      <w:pPr>
        <w:spacing w:after="160"/>
        <w:jc w:val="center"/>
      </w:pPr>
    </w:p>
    <w:p w14:paraId="452AE4A7" w14:textId="77777777" w:rsidR="00BD4302" w:rsidRDefault="00000000" w:rsidP="004547D2">
      <w:pPr>
        <w:spacing w:before="240" w:after="80"/>
        <w:jc w:val="center"/>
      </w:pPr>
      <w:r>
        <w:rPr>
          <w:b/>
        </w:rPr>
        <w:t>PERSONAL INFORMATION</w:t>
      </w:r>
    </w:p>
    <w:p w14:paraId="1992C704" w14:textId="77777777" w:rsidR="00BD4302" w:rsidRDefault="00000000" w:rsidP="004547D2">
      <w:pPr>
        <w:spacing w:after="40"/>
        <w:jc w:val="center"/>
      </w:pPr>
      <w:r>
        <w:rPr>
          <w:b/>
        </w:rPr>
        <w:t xml:space="preserve">Date of birth: </w:t>
      </w:r>
      <w:r>
        <w:t>29 April 1990</w:t>
      </w:r>
    </w:p>
    <w:p w14:paraId="2EE9B0F5" w14:textId="77777777" w:rsidR="00BD4302" w:rsidRDefault="00000000" w:rsidP="004547D2">
      <w:pPr>
        <w:spacing w:after="40"/>
        <w:jc w:val="center"/>
      </w:pPr>
      <w:r>
        <w:rPr>
          <w:b/>
        </w:rPr>
        <w:t xml:space="preserve">Nationality: </w:t>
      </w:r>
      <w:r>
        <w:t>Greek</w:t>
      </w:r>
    </w:p>
    <w:p w14:paraId="56366BF0" w14:textId="77777777" w:rsidR="00BD4302" w:rsidRDefault="00000000" w:rsidP="004547D2">
      <w:pPr>
        <w:spacing w:after="40"/>
        <w:jc w:val="center"/>
      </w:pPr>
      <w:r>
        <w:rPr>
          <w:b/>
        </w:rPr>
        <w:t xml:space="preserve">Marital status: </w:t>
      </w:r>
      <w:r>
        <w:t>Married</w:t>
      </w:r>
    </w:p>
    <w:p w14:paraId="00D7B43A" w14:textId="77777777" w:rsidR="00BD4302" w:rsidRDefault="00000000" w:rsidP="004547D2">
      <w:pPr>
        <w:spacing w:after="40"/>
        <w:jc w:val="center"/>
      </w:pPr>
      <w:r>
        <w:rPr>
          <w:b/>
        </w:rPr>
        <w:t xml:space="preserve">Greek military service: </w:t>
      </w:r>
      <w:r>
        <w:t>Completed, Greek Navy</w:t>
      </w:r>
    </w:p>
    <w:p w14:paraId="6E29C6F8" w14:textId="77777777" w:rsidR="00BD4302" w:rsidRDefault="00000000" w:rsidP="004547D2">
      <w:pPr>
        <w:spacing w:after="40"/>
        <w:jc w:val="center"/>
      </w:pPr>
      <w:r>
        <w:rPr>
          <w:b/>
        </w:rPr>
        <w:t xml:space="preserve">Address: </w:t>
      </w:r>
      <w:r>
        <w:t>7 Calle Justino Matute, Triana, Seville</w:t>
      </w:r>
    </w:p>
    <w:p w14:paraId="53C3173F" w14:textId="77777777" w:rsidR="00BD4302" w:rsidRDefault="00000000" w:rsidP="004547D2">
      <w:pPr>
        <w:spacing w:after="40"/>
        <w:jc w:val="center"/>
      </w:pPr>
      <w:r>
        <w:rPr>
          <w:b/>
        </w:rPr>
        <w:t xml:space="preserve">Telephone: </w:t>
      </w:r>
      <w:r>
        <w:t>+30 693 722 5773</w:t>
      </w:r>
    </w:p>
    <w:p w14:paraId="7E5FBAB4" w14:textId="77777777" w:rsidR="00BD4302" w:rsidRDefault="00000000" w:rsidP="004547D2">
      <w:pPr>
        <w:spacing w:after="40"/>
        <w:jc w:val="center"/>
      </w:pPr>
      <w:r>
        <w:rPr>
          <w:b/>
        </w:rPr>
        <w:t xml:space="preserve">Email: </w:t>
      </w:r>
      <w:hyperlink r:id="rId6">
        <w:r>
          <w:rPr>
            <w:color w:val="0563C1"/>
            <w:szCs w:val="24"/>
            <w:u w:val="single"/>
          </w:rPr>
          <w:t>fotios.ntelis@ec.europa.eu</w:t>
        </w:r>
      </w:hyperlink>
    </w:p>
    <w:p w14:paraId="398A7E08" w14:textId="77777777" w:rsidR="00BD4302" w:rsidRDefault="00000000" w:rsidP="004547D2">
      <w:pPr>
        <w:spacing w:after="40"/>
        <w:jc w:val="center"/>
      </w:pPr>
      <w:r>
        <w:rPr>
          <w:b/>
        </w:rPr>
        <w:t xml:space="preserve">Website: </w:t>
      </w:r>
      <w:hyperlink r:id="rId7">
        <w:r>
          <w:rPr>
            <w:color w:val="0563C1"/>
            <w:szCs w:val="24"/>
            <w:u w:val="single"/>
          </w:rPr>
          <w:t>sites.google.com/view/fotisdelis/home</w:t>
        </w:r>
      </w:hyperlink>
    </w:p>
    <w:p w14:paraId="1111CF74" w14:textId="77777777" w:rsidR="00BD4302" w:rsidRDefault="00000000" w:rsidP="004547D2">
      <w:pPr>
        <w:spacing w:after="40"/>
        <w:jc w:val="center"/>
      </w:pPr>
      <w:r>
        <w:rPr>
          <w:b/>
        </w:rPr>
        <w:t xml:space="preserve">LinkedIn: </w:t>
      </w:r>
      <w:hyperlink r:id="rId8">
        <w:r>
          <w:rPr>
            <w:color w:val="0563C1"/>
            <w:szCs w:val="24"/>
            <w:u w:val="single"/>
          </w:rPr>
          <w:t>Fotis Delis</w:t>
        </w:r>
      </w:hyperlink>
    </w:p>
    <w:p w14:paraId="735040BF" w14:textId="77777777" w:rsidR="00BD4302" w:rsidRDefault="00000000" w:rsidP="004547D2">
      <w:pPr>
        <w:spacing w:after="40"/>
        <w:jc w:val="center"/>
      </w:pPr>
      <w:r>
        <w:rPr>
          <w:b/>
        </w:rPr>
        <w:t xml:space="preserve">Google Scholar: </w:t>
      </w:r>
      <w:hyperlink r:id="rId9">
        <w:r>
          <w:rPr>
            <w:color w:val="0563C1"/>
            <w:szCs w:val="24"/>
            <w:u w:val="single"/>
          </w:rPr>
          <w:t>Fotis Delis</w:t>
        </w:r>
      </w:hyperlink>
    </w:p>
    <w:p w14:paraId="107037C7" w14:textId="77777777" w:rsidR="004547D2" w:rsidRDefault="004547D2" w:rsidP="004547D2">
      <w:pPr>
        <w:spacing w:after="40"/>
        <w:jc w:val="center"/>
      </w:pPr>
    </w:p>
    <w:p w14:paraId="68D0D4A6" w14:textId="77777777" w:rsidR="00BD4302" w:rsidRDefault="00000000">
      <w:pPr>
        <w:spacing w:before="240" w:after="80"/>
      </w:pPr>
      <w:r>
        <w:rPr>
          <w:b/>
        </w:rPr>
        <w:t>EDUCATION</w:t>
      </w:r>
    </w:p>
    <w:p w14:paraId="2E7AC87C" w14:textId="77777777" w:rsidR="00BD4302" w:rsidRDefault="00000000">
      <w:pPr>
        <w:pStyle w:val="ListBullet"/>
        <w:spacing w:after="40"/>
      </w:pPr>
      <w:r>
        <w:rPr>
          <w:b/>
        </w:rPr>
        <w:t>Ph.D. in Economics</w:t>
      </w:r>
      <w:r>
        <w:t>, University of Piraeus, Greece (March 2022).</w:t>
      </w:r>
    </w:p>
    <w:p w14:paraId="376A1144" w14:textId="77777777" w:rsidR="00BD4302" w:rsidRDefault="00000000">
      <w:pPr>
        <w:spacing w:after="0"/>
        <w:ind w:left="720"/>
      </w:pPr>
      <w:r>
        <w:t>Subject: International Corporate Tax Avoidance.</w:t>
      </w:r>
    </w:p>
    <w:p w14:paraId="7B253DD5" w14:textId="77777777" w:rsidR="00BD4302" w:rsidRDefault="00000000">
      <w:pPr>
        <w:spacing w:after="120"/>
        <w:ind w:left="720"/>
      </w:pPr>
      <w:r>
        <w:t>Thesis: “Essays on Profit Shifting Behaviour of Multinational Enterprises” (with Distinction). Supervisor: Prof. Claire Economidou.</w:t>
      </w:r>
    </w:p>
    <w:p w14:paraId="5EC2164E" w14:textId="77777777" w:rsidR="00BD4302" w:rsidRDefault="00000000">
      <w:pPr>
        <w:pStyle w:val="ListBullet"/>
        <w:spacing w:after="40"/>
      </w:pPr>
      <w:r>
        <w:rPr>
          <w:b/>
        </w:rPr>
        <w:t>M.Sc. in International and European Economic Studies</w:t>
      </w:r>
      <w:r>
        <w:t>, Athens University of Economics and Business (AUEB), Greece (January 2019).</w:t>
      </w:r>
    </w:p>
    <w:p w14:paraId="56DE86FA" w14:textId="77777777" w:rsidR="00BD4302" w:rsidRDefault="00000000">
      <w:pPr>
        <w:spacing w:after="0"/>
        <w:ind w:left="720"/>
      </w:pPr>
      <w:r>
        <w:t>Major: International Economics and Finance. Performance: 9.45/10 — graduated first in class (with Distinction).</w:t>
      </w:r>
    </w:p>
    <w:p w14:paraId="31ECFA17" w14:textId="77777777" w:rsidR="00BD4302" w:rsidRDefault="00000000">
      <w:pPr>
        <w:spacing w:after="120"/>
        <w:ind w:left="720"/>
      </w:pPr>
      <w:r>
        <w:t>Thesis: “Profit Shifting Worldwide: An Empirical Investigation”.</w:t>
      </w:r>
    </w:p>
    <w:p w14:paraId="6B4312F4" w14:textId="77777777" w:rsidR="00BD4302" w:rsidRDefault="00000000">
      <w:pPr>
        <w:pStyle w:val="ListBullet"/>
        <w:spacing w:after="40"/>
      </w:pPr>
      <w:r>
        <w:rPr>
          <w:b/>
        </w:rPr>
        <w:t>Bachelor in Economics</w:t>
      </w:r>
      <w:r>
        <w:t>, Athens University of Economics and Business (AUEB), Greece (September 2017).</w:t>
      </w:r>
    </w:p>
    <w:p w14:paraId="073B093D" w14:textId="77777777" w:rsidR="00BD4302" w:rsidRDefault="00000000">
      <w:pPr>
        <w:spacing w:after="80"/>
        <w:ind w:left="720"/>
      </w:pPr>
      <w:r>
        <w:t>Major: Business Economics and Finance. Performance: 7.83/10.</w:t>
      </w:r>
    </w:p>
    <w:p w14:paraId="61F96D20" w14:textId="77777777" w:rsidR="004547D2" w:rsidRDefault="004547D2">
      <w:pPr>
        <w:spacing w:after="80"/>
        <w:ind w:left="720"/>
      </w:pPr>
    </w:p>
    <w:p w14:paraId="7EDE2087" w14:textId="77777777" w:rsidR="00BD4302" w:rsidRDefault="00000000">
      <w:pPr>
        <w:spacing w:before="240" w:after="80"/>
      </w:pPr>
      <w:r>
        <w:rPr>
          <w:b/>
        </w:rPr>
        <w:t>WORKING EXPERIENCE</w:t>
      </w:r>
    </w:p>
    <w:p w14:paraId="2A92E42A" w14:textId="77777777" w:rsidR="00BD4302" w:rsidRDefault="00000000">
      <w:pPr>
        <w:pStyle w:val="ListBullet"/>
        <w:spacing w:after="40"/>
      </w:pPr>
      <w:r>
        <w:rPr>
          <w:b/>
        </w:rPr>
        <w:t xml:space="preserve">September 2022 – present: </w:t>
      </w:r>
      <w:r>
        <w:t>Economist, European Commission, Joint Research Centre (JRC) Seville.</w:t>
      </w:r>
    </w:p>
    <w:p w14:paraId="6047E251" w14:textId="77777777" w:rsidR="00BD4302" w:rsidRDefault="00000000">
      <w:pPr>
        <w:spacing w:after="120"/>
        <w:ind w:left="720"/>
      </w:pPr>
      <w:r>
        <w:lastRenderedPageBreak/>
        <w:t>Estimating corporate tax avoidance of multinational enterprises; developing corporate-tax microsimulations to model EU firms’ tax bases and liabilities.</w:t>
      </w:r>
    </w:p>
    <w:p w14:paraId="40C22D12" w14:textId="77777777" w:rsidR="00BD4302" w:rsidRDefault="00000000">
      <w:pPr>
        <w:pStyle w:val="ListBullet"/>
        <w:spacing w:after="40"/>
      </w:pPr>
      <w:r>
        <w:rPr>
          <w:b/>
        </w:rPr>
        <w:t xml:space="preserve">July 2021 – October 2021: </w:t>
      </w:r>
      <w:r>
        <w:t>Financial consultant, Hellenic Festival S.A.</w:t>
      </w:r>
    </w:p>
    <w:p w14:paraId="7447D7BD" w14:textId="77777777" w:rsidR="00BD4302" w:rsidRDefault="00000000">
      <w:pPr>
        <w:spacing w:after="120"/>
        <w:ind w:left="720"/>
      </w:pPr>
      <w:r>
        <w:t>Event ticketing pricing strategies for the Athens Epidaurus Festival.</w:t>
      </w:r>
    </w:p>
    <w:p w14:paraId="032C6374" w14:textId="77777777" w:rsidR="00BD4302" w:rsidRDefault="00000000">
      <w:pPr>
        <w:pStyle w:val="ListBullet"/>
        <w:spacing w:after="40"/>
      </w:pPr>
      <w:r>
        <w:rPr>
          <w:b/>
        </w:rPr>
        <w:t xml:space="preserve">January 2015 – December 2015: </w:t>
      </w:r>
      <w:r>
        <w:t>Junior Financial Consultant, N-Solution Consultants.</w:t>
      </w:r>
    </w:p>
    <w:p w14:paraId="58EFFAEF" w14:textId="77777777" w:rsidR="00BD4302" w:rsidRDefault="00000000">
      <w:pPr>
        <w:spacing w:after="80"/>
        <w:ind w:left="720"/>
      </w:pPr>
      <w:r>
        <w:t>Intra-company transfer pricing; reorganisation and legal support for insolvent entities; market research.</w:t>
      </w:r>
    </w:p>
    <w:p w14:paraId="74B128C3" w14:textId="77777777" w:rsidR="004547D2" w:rsidRDefault="004547D2">
      <w:pPr>
        <w:spacing w:after="80"/>
        <w:ind w:left="720"/>
      </w:pPr>
    </w:p>
    <w:p w14:paraId="097A7999" w14:textId="77777777" w:rsidR="00BD4302" w:rsidRDefault="00000000">
      <w:pPr>
        <w:spacing w:before="240" w:after="80"/>
      </w:pPr>
      <w:r>
        <w:rPr>
          <w:b/>
        </w:rPr>
        <w:t>RESEARCH</w:t>
      </w:r>
    </w:p>
    <w:p w14:paraId="3A9793BC" w14:textId="77777777" w:rsidR="00BD4302" w:rsidRDefault="00000000">
      <w:pPr>
        <w:spacing w:before="120" w:after="40"/>
      </w:pPr>
      <w:r>
        <w:rPr>
          <w:b/>
        </w:rPr>
        <w:t>Publications</w:t>
      </w:r>
    </w:p>
    <w:p w14:paraId="640B7321" w14:textId="77777777" w:rsidR="00BD4302" w:rsidRDefault="00000000">
      <w:pPr>
        <w:pStyle w:val="ListBullet"/>
        <w:spacing w:after="40"/>
      </w:pPr>
      <w:r>
        <w:rPr>
          <w:i/>
        </w:rPr>
        <w:t>“Global Evidence on Profit Shifting Within Firms and Across Time”</w:t>
      </w:r>
      <w:r>
        <w:t xml:space="preserve"> (with Manthos D. Delis, Luc Laeven and Steven Ongena). </w:t>
      </w:r>
      <w:r>
        <w:rPr>
          <w:i/>
        </w:rPr>
        <w:t>Journal of Accounting and Economics</w:t>
      </w:r>
      <w:r>
        <w:t xml:space="preserve">, 79(2), 101744, 2025.  </w:t>
      </w:r>
      <w:hyperlink r:id="rId10">
        <w:r>
          <w:rPr>
            <w:color w:val="0563C1"/>
            <w:szCs w:val="24"/>
            <w:u w:val="single"/>
          </w:rPr>
          <w:t>[JAE link]</w:t>
        </w:r>
      </w:hyperlink>
    </w:p>
    <w:p w14:paraId="264C9F0B" w14:textId="77777777" w:rsidR="00BD4302" w:rsidRDefault="00000000">
      <w:pPr>
        <w:pStyle w:val="ListBullet"/>
        <w:spacing w:after="40"/>
      </w:pPr>
      <w:r>
        <w:rPr>
          <w:i/>
        </w:rPr>
        <w:t>“Corporate Governance and Profit Shifting: The Role of the Audit Committee”</w:t>
      </w:r>
      <w:r>
        <w:t xml:space="preserve"> (with Manthos D. Delis, Panagiotis I. Karavitis and Kenneth J. Klassen). </w:t>
      </w:r>
      <w:r>
        <w:rPr>
          <w:i/>
        </w:rPr>
        <w:t>European Accounting Review</w:t>
      </w:r>
      <w:r>
        <w:t xml:space="preserve">, 32, 809–839, 2023.  </w:t>
      </w:r>
      <w:hyperlink r:id="rId11">
        <w:r>
          <w:rPr>
            <w:color w:val="0563C1"/>
            <w:szCs w:val="24"/>
            <w:u w:val="single"/>
          </w:rPr>
          <w:t>[EAR link]</w:t>
        </w:r>
      </w:hyperlink>
    </w:p>
    <w:p w14:paraId="647E2B9B" w14:textId="77777777" w:rsidR="00BD4302" w:rsidRDefault="00000000">
      <w:pPr>
        <w:spacing w:before="120" w:after="40"/>
      </w:pPr>
      <w:r>
        <w:rPr>
          <w:b/>
        </w:rPr>
        <w:t>Working papers</w:t>
      </w:r>
    </w:p>
    <w:p w14:paraId="575BC581" w14:textId="77777777" w:rsidR="00BD4302" w:rsidRDefault="00000000">
      <w:pPr>
        <w:pStyle w:val="ListBullet"/>
        <w:spacing w:after="40"/>
      </w:pPr>
      <w:r>
        <w:rPr>
          <w:i/>
        </w:rPr>
        <w:t>“The Pricing of Profit Shifting”</w:t>
      </w:r>
      <w:r>
        <w:t xml:space="preserve"> (with Manthos D. Delis, Sotirios Kokas, Luc Laeven and Steven Ongena).  </w:t>
      </w:r>
      <w:hyperlink r:id="rId12">
        <w:r>
          <w:rPr>
            <w:color w:val="0563C1"/>
            <w:szCs w:val="24"/>
            <w:u w:val="single"/>
          </w:rPr>
          <w:t>SSRN</w:t>
        </w:r>
      </w:hyperlink>
      <w:r>
        <w:t xml:space="preserve">   </w:t>
      </w:r>
      <w:hyperlink r:id="rId13">
        <w:r>
          <w:rPr>
            <w:color w:val="0563C1"/>
            <w:szCs w:val="24"/>
            <w:u w:val="single"/>
          </w:rPr>
          <w:t>CEPR</w:t>
        </w:r>
      </w:hyperlink>
    </w:p>
    <w:p w14:paraId="76B4CACA" w14:textId="77777777" w:rsidR="00BD4302" w:rsidRDefault="00000000">
      <w:pPr>
        <w:spacing w:before="120" w:after="40"/>
      </w:pPr>
      <w:r>
        <w:rPr>
          <w:b/>
        </w:rPr>
        <w:t>Work in progress</w:t>
      </w:r>
    </w:p>
    <w:p w14:paraId="10D49AED" w14:textId="77777777" w:rsidR="00BD4302" w:rsidRDefault="00000000">
      <w:pPr>
        <w:pStyle w:val="ListBullet"/>
        <w:spacing w:after="40"/>
      </w:pPr>
      <w:r>
        <w:rPr>
          <w:i/>
        </w:rPr>
        <w:t>“Stairway to Tax Haven”</w:t>
      </w:r>
      <w:r>
        <w:t xml:space="preserve"> (single authored).</w:t>
      </w:r>
    </w:p>
    <w:p w14:paraId="47482D2B" w14:textId="77777777" w:rsidR="00BD4302" w:rsidRDefault="00000000">
      <w:pPr>
        <w:pStyle w:val="ListBullet"/>
        <w:spacing w:after="40"/>
      </w:pPr>
      <w:r>
        <w:rPr>
          <w:i/>
        </w:rPr>
        <w:t>“Decoding Income Tax Systems: Tax Structure and Income Distributions in the EU”</w:t>
      </w:r>
      <w:r>
        <w:t xml:space="preserve"> (with Yota Deli, Theano Kakoulidou and Stamatia Ftergioti).</w:t>
      </w:r>
    </w:p>
    <w:p w14:paraId="36F9B7DE" w14:textId="77777777" w:rsidR="00BD4302" w:rsidRDefault="00000000">
      <w:pPr>
        <w:pStyle w:val="ListBullet"/>
        <w:spacing w:after="40"/>
      </w:pPr>
      <w:r>
        <w:rPr>
          <w:i/>
        </w:rPr>
        <w:t>“Banking Beyond Borders: Offshore Dynamics and Profit Shifting in Global Financial Institutions”</w:t>
      </w:r>
      <w:r>
        <w:t xml:space="preserve"> (with Raffael Speitmann and Yuchen Wu).</w:t>
      </w:r>
    </w:p>
    <w:p w14:paraId="7CE6727C" w14:textId="77777777" w:rsidR="004547D2" w:rsidRDefault="004547D2" w:rsidP="004547D2">
      <w:pPr>
        <w:pStyle w:val="ListBullet"/>
        <w:numPr>
          <w:ilvl w:val="0"/>
          <w:numId w:val="0"/>
        </w:numPr>
        <w:spacing w:after="40"/>
        <w:ind w:left="360"/>
      </w:pPr>
    </w:p>
    <w:p w14:paraId="250F930C" w14:textId="77777777" w:rsidR="00BD4302" w:rsidRDefault="00000000">
      <w:pPr>
        <w:spacing w:before="240" w:after="80"/>
      </w:pPr>
      <w:r>
        <w:rPr>
          <w:b/>
        </w:rPr>
        <w:t>POLICY WORK</w:t>
      </w:r>
    </w:p>
    <w:p w14:paraId="6188ED34" w14:textId="77777777" w:rsidR="00BD4302" w:rsidRDefault="00000000">
      <w:pPr>
        <w:pStyle w:val="ListBullet"/>
        <w:spacing w:after="40"/>
      </w:pPr>
      <w:r>
        <w:t xml:space="preserve">Developed the </w:t>
      </w:r>
      <w:r>
        <w:rPr>
          <w:b/>
        </w:rPr>
        <w:t>DiRECT model</w:t>
      </w:r>
      <w:r>
        <w:t xml:space="preserve"> (Distributional and Revenue Effects of Corporate Taxes), a corporate-tax microsimulation model providing insights into the fiscal and distributional impacts of corporate-income-tax reforms (with Raffael Speitmann and Andrzej Stasio).  </w:t>
      </w:r>
      <w:hyperlink r:id="rId14">
        <w:r>
          <w:rPr>
            <w:color w:val="0563C1"/>
            <w:szCs w:val="24"/>
            <w:u w:val="single"/>
          </w:rPr>
          <w:t>JRC / DiRECT model</w:t>
        </w:r>
      </w:hyperlink>
    </w:p>
    <w:p w14:paraId="5D00C66B" w14:textId="77777777" w:rsidR="00BD4302" w:rsidRDefault="00000000">
      <w:pPr>
        <w:pStyle w:val="ListBullet"/>
        <w:spacing w:after="40"/>
      </w:pPr>
      <w:r>
        <w:rPr>
          <w:i/>
        </w:rPr>
        <w:t>“The tax system penalizes the growth of new and small businesses in the EU”</w:t>
      </w:r>
      <w:r>
        <w:t xml:space="preserve"> (with Salvador Barrios and Mikel A. Landabaso). JRC working paper.  </w:t>
      </w:r>
      <w:hyperlink r:id="rId15">
        <w:r>
          <w:rPr>
            <w:color w:val="0563C1"/>
            <w:szCs w:val="24"/>
            <w:u w:val="single"/>
          </w:rPr>
          <w:t>JRC repository</w:t>
        </w:r>
      </w:hyperlink>
    </w:p>
    <w:p w14:paraId="6611F411" w14:textId="77777777" w:rsidR="004547D2" w:rsidRDefault="004547D2" w:rsidP="004547D2">
      <w:pPr>
        <w:pStyle w:val="ListBullet"/>
        <w:numPr>
          <w:ilvl w:val="0"/>
          <w:numId w:val="0"/>
        </w:numPr>
        <w:spacing w:after="40"/>
        <w:ind w:left="360"/>
        <w:rPr>
          <w:i/>
        </w:rPr>
      </w:pPr>
    </w:p>
    <w:p w14:paraId="2E5E7B14" w14:textId="77777777" w:rsidR="004547D2" w:rsidRDefault="004547D2" w:rsidP="004547D2">
      <w:pPr>
        <w:pStyle w:val="ListBullet"/>
        <w:numPr>
          <w:ilvl w:val="0"/>
          <w:numId w:val="0"/>
        </w:numPr>
        <w:spacing w:after="40"/>
        <w:ind w:left="360"/>
      </w:pPr>
    </w:p>
    <w:p w14:paraId="01C8F19C" w14:textId="77777777" w:rsidR="00BD4302" w:rsidRDefault="00000000">
      <w:pPr>
        <w:spacing w:before="240" w:after="80"/>
      </w:pPr>
      <w:r>
        <w:rPr>
          <w:b/>
        </w:rPr>
        <w:lastRenderedPageBreak/>
        <w:t>CONFERENCES AND REFEREEING</w:t>
      </w:r>
    </w:p>
    <w:p w14:paraId="14E98F05" w14:textId="77777777" w:rsidR="00BD4302" w:rsidRDefault="00000000">
      <w:pPr>
        <w:pStyle w:val="ListBullet"/>
        <w:spacing w:after="40"/>
      </w:pPr>
      <w:r>
        <w:t>JRC Fiscal Policy Modelling Workshops — Organising Committee Member (5th, 6th and 7th editions); presented at the 5th edition.</w:t>
      </w:r>
    </w:p>
    <w:p w14:paraId="5F205FC6" w14:textId="77777777" w:rsidR="00BD4302" w:rsidRDefault="00000000">
      <w:pPr>
        <w:pStyle w:val="ListBullet"/>
        <w:spacing w:after="40"/>
      </w:pPr>
      <w:r>
        <w:t>Presented at the Mannheim Taxation Conference (10th and 12th editions).</w:t>
      </w:r>
    </w:p>
    <w:p w14:paraId="78071F2B" w14:textId="77777777" w:rsidR="00BD4302" w:rsidRDefault="00000000">
      <w:pPr>
        <w:pStyle w:val="ListBullet"/>
        <w:spacing w:after="40"/>
      </w:pPr>
      <w:r>
        <w:t>Presented at the IESE Tax Conference (1st edition).</w:t>
      </w:r>
    </w:p>
    <w:p w14:paraId="4443B892" w14:textId="77777777" w:rsidR="00BD4302" w:rsidRDefault="00000000">
      <w:pPr>
        <w:pStyle w:val="ListBullet"/>
        <w:spacing w:after="40"/>
      </w:pPr>
      <w:r>
        <w:t>Presented at the Hellenic Finance and Accounting Association Annual Conference (20th and 24th editions).</w:t>
      </w:r>
    </w:p>
    <w:p w14:paraId="750C8DEE" w14:textId="77777777" w:rsidR="00BD4302" w:rsidRDefault="00000000">
      <w:pPr>
        <w:pStyle w:val="ListBullet"/>
        <w:spacing w:after="40"/>
      </w:pPr>
      <w:r>
        <w:t>Reviewer for European Accounting Review, International Tax and Public Finance, Journal of Tax Administration, Economic Modelling, Economic Systems.</w:t>
      </w:r>
    </w:p>
    <w:p w14:paraId="7DADDBF1" w14:textId="77777777" w:rsidR="00BD4302" w:rsidRDefault="00000000">
      <w:pPr>
        <w:pStyle w:val="ListBullet"/>
        <w:spacing w:after="40"/>
      </w:pPr>
      <w:r>
        <w:t>Reviewer for European Research Council (ERC) grant proposals.</w:t>
      </w:r>
    </w:p>
    <w:p w14:paraId="34AACC26" w14:textId="77777777" w:rsidR="004547D2" w:rsidRDefault="004547D2">
      <w:pPr>
        <w:spacing w:before="240" w:after="80"/>
        <w:rPr>
          <w:b/>
        </w:rPr>
      </w:pPr>
    </w:p>
    <w:p w14:paraId="11DBAFC1" w14:textId="79A471B3" w:rsidR="00BD4302" w:rsidRDefault="00000000">
      <w:pPr>
        <w:spacing w:before="240" w:after="80"/>
      </w:pPr>
      <w:r>
        <w:rPr>
          <w:b/>
        </w:rPr>
        <w:t>SKILLS</w:t>
      </w:r>
    </w:p>
    <w:p w14:paraId="33F234B0" w14:textId="77777777" w:rsidR="00BD4302" w:rsidRDefault="00000000">
      <w:pPr>
        <w:spacing w:after="40"/>
      </w:pPr>
      <w:r>
        <w:rPr>
          <w:b/>
        </w:rPr>
        <w:t xml:space="preserve">Languages: </w:t>
      </w:r>
      <w:r>
        <w:t>Greek (native); English (C2); French (C1).</w:t>
      </w:r>
    </w:p>
    <w:p w14:paraId="6DDC18E7" w14:textId="77777777" w:rsidR="00BD4302" w:rsidRDefault="00000000">
      <w:pPr>
        <w:spacing w:after="40"/>
      </w:pPr>
      <w:r>
        <w:rPr>
          <w:b/>
        </w:rPr>
        <w:t xml:space="preserve">Technical: </w:t>
      </w:r>
      <w:r>
        <w:t>Microsoft Office, Stata, R, Python, Moody’s Bureau van Dijk (Orbis, Amadeus) and Eurostat databases.</w:t>
      </w:r>
    </w:p>
    <w:sectPr w:rsidR="00BD430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0400978">
    <w:abstractNumId w:val="8"/>
  </w:num>
  <w:num w:numId="2" w16cid:durableId="1229612973">
    <w:abstractNumId w:val="6"/>
  </w:num>
  <w:num w:numId="3" w16cid:durableId="991525399">
    <w:abstractNumId w:val="5"/>
  </w:num>
  <w:num w:numId="4" w16cid:durableId="566258611">
    <w:abstractNumId w:val="4"/>
  </w:num>
  <w:num w:numId="5" w16cid:durableId="1250964393">
    <w:abstractNumId w:val="7"/>
  </w:num>
  <w:num w:numId="6" w16cid:durableId="832257779">
    <w:abstractNumId w:val="3"/>
  </w:num>
  <w:num w:numId="7" w16cid:durableId="416367630">
    <w:abstractNumId w:val="2"/>
  </w:num>
  <w:num w:numId="8" w16cid:durableId="1294478002">
    <w:abstractNumId w:val="1"/>
  </w:num>
  <w:num w:numId="9" w16cid:durableId="80308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47D2"/>
    <w:rsid w:val="008234F2"/>
    <w:rsid w:val="00AA1D8D"/>
    <w:rsid w:val="00B47730"/>
    <w:rsid w:val="00BD430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36A11"/>
  <w14:defaultImageDpi w14:val="300"/>
  <w15:docId w15:val="{9F765F5A-8936-4B87-B89D-967F1A9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otis-delis-5186aa199/" TargetMode="External"/><Relationship Id="rId13" Type="http://schemas.openxmlformats.org/officeDocument/2006/relationships/hyperlink" Target="https://cepr.org/voxeu/columns/pricing-profit-shift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view/fotisdelis/home" TargetMode="External"/><Relationship Id="rId12" Type="http://schemas.openxmlformats.org/officeDocument/2006/relationships/hyperlink" Target="https://papers.ssrn.com/sol3/papers.cfm?abstract_id=53435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fotios.ntelis@ec.europa.eu" TargetMode="External"/><Relationship Id="rId11" Type="http://schemas.openxmlformats.org/officeDocument/2006/relationships/hyperlink" Target="https://www.tandfonline.com/doi/abs/10.1080/09638180.2021.20032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lications.jrc.ec.europa.eu/repository/handle/JRC138855" TargetMode="External"/><Relationship Id="rId10" Type="http://schemas.openxmlformats.org/officeDocument/2006/relationships/hyperlink" Target="https://www.sciencedirect.com/science/article/abs/pii/S01654101240007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aDjWfSEAAAAJ&amp;hl=el" TargetMode="External"/><Relationship Id="rId14" Type="http://schemas.openxmlformats.org/officeDocument/2006/relationships/hyperlink" Target="https://joint-research-centre.ec.europa.eu/projects-and-activities/fiscal-policy-analysis/corporate-taxation/corporate-tax-microsimulation-model-direct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Fotis Delis</cp:lastModifiedBy>
  <cp:revision>2</cp:revision>
  <dcterms:created xsi:type="dcterms:W3CDTF">2013-12-23T23:15:00Z</dcterms:created>
  <dcterms:modified xsi:type="dcterms:W3CDTF">2026-04-19T18:36:00Z</dcterms:modified>
  <cp:category/>
</cp:coreProperties>
</file>